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5F" w:rsidRPr="000108BC" w:rsidRDefault="008F6A5F" w:rsidP="00E15C23">
      <w:pPr>
        <w:tabs>
          <w:tab w:val="left" w:pos="216"/>
        </w:tabs>
        <w:spacing w:after="0" w:line="240" w:lineRule="auto"/>
        <w:jc w:val="both"/>
        <w:rPr>
          <w:rFonts w:ascii="Calibri" w:eastAsia="Times New Roman" w:hAnsi="Calibri" w:cs="Times New Roman"/>
          <w:b/>
          <w:bCs/>
          <w:sz w:val="32"/>
          <w:szCs w:val="24"/>
          <w:lang w:eastAsia="es-MX"/>
        </w:rPr>
      </w:pPr>
      <w:bookmarkStart w:id="0" w:name="_GoBack"/>
      <w:bookmarkEnd w:id="0"/>
      <w:r w:rsidRPr="000108BC">
        <w:rPr>
          <w:rFonts w:ascii="Calibri" w:eastAsia="Times New Roman" w:hAnsi="Calibri" w:cs="Times New Roman"/>
          <w:b/>
          <w:bCs/>
          <w:sz w:val="32"/>
          <w:szCs w:val="24"/>
          <w:lang w:eastAsia="es-MX"/>
        </w:rPr>
        <w:t xml:space="preserve">Validación de la TABLA DE APLICABILIDAD de las obligaciones de transparencia comunes del </w:t>
      </w:r>
    </w:p>
    <w:p w:rsidR="00F44F9E" w:rsidRPr="000108BC" w:rsidRDefault="008F6A5F" w:rsidP="00E15C23">
      <w:pPr>
        <w:tabs>
          <w:tab w:val="left" w:pos="216"/>
        </w:tabs>
        <w:spacing w:after="0" w:line="240" w:lineRule="auto"/>
        <w:ind w:left="70"/>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Poder Ejecutivo</w:t>
      </w:r>
    </w:p>
    <w:p w:rsidR="00F44F9E" w:rsidRPr="000108BC" w:rsidRDefault="008F6A5F" w:rsidP="00E15C23">
      <w:pPr>
        <w:tabs>
          <w:tab w:val="left" w:pos="216"/>
        </w:tabs>
        <w:spacing w:after="0" w:line="240" w:lineRule="auto"/>
        <w:ind w:left="70"/>
        <w:jc w:val="both"/>
        <w:rPr>
          <w:rFonts w:ascii="Calibri" w:eastAsia="Times New Roman" w:hAnsi="Calibri" w:cs="Times New Roman"/>
          <w:b/>
          <w:bCs/>
          <w:sz w:val="32"/>
          <w:szCs w:val="24"/>
          <w:u w:val="single"/>
          <w:lang w:eastAsia="es-MX"/>
        </w:rPr>
      </w:pPr>
      <w:r w:rsidRPr="000108BC">
        <w:rPr>
          <w:rFonts w:ascii="Calibri" w:eastAsia="Times New Roman" w:hAnsi="Calibri" w:cs="Times New Roman"/>
          <w:b/>
          <w:bCs/>
          <w:sz w:val="32"/>
          <w:szCs w:val="24"/>
          <w:lang w:eastAsia="es-MX"/>
        </w:rPr>
        <w:t>Dependencia o entidad</w:t>
      </w:r>
      <w:proofErr w:type="gramStart"/>
      <w:r w:rsidRPr="000108BC">
        <w:rPr>
          <w:rFonts w:ascii="Calibri" w:eastAsia="Times New Roman" w:hAnsi="Calibri" w:cs="Times New Roman"/>
          <w:b/>
          <w:bCs/>
          <w:sz w:val="32"/>
          <w:szCs w:val="24"/>
          <w:lang w:eastAsia="es-MX"/>
        </w:rPr>
        <w:t>:</w:t>
      </w:r>
      <w:r w:rsidR="00452D85" w:rsidRPr="000108BC">
        <w:rPr>
          <w:rFonts w:ascii="Calibri" w:eastAsia="Times New Roman" w:hAnsi="Calibri" w:cs="Times New Roman"/>
          <w:b/>
          <w:bCs/>
          <w:sz w:val="32"/>
          <w:szCs w:val="24"/>
          <w:u w:val="single"/>
          <w:lang w:eastAsia="es-MX"/>
        </w:rPr>
        <w:t>Secretaría</w:t>
      </w:r>
      <w:proofErr w:type="gramEnd"/>
      <w:r w:rsidR="00452D85" w:rsidRPr="000108BC">
        <w:rPr>
          <w:rFonts w:ascii="Calibri" w:eastAsia="Times New Roman" w:hAnsi="Calibri" w:cs="Times New Roman"/>
          <w:b/>
          <w:bCs/>
          <w:sz w:val="32"/>
          <w:szCs w:val="24"/>
          <w:u w:val="single"/>
          <w:lang w:eastAsia="es-MX"/>
        </w:rPr>
        <w:t xml:space="preserve"> del Trabajo.</w:t>
      </w:r>
    </w:p>
    <w:p w:rsidR="008F6A5F" w:rsidRPr="000108BC" w:rsidRDefault="008F6A5F" w:rsidP="00E15C23">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13893" w:type="dxa"/>
        <w:tblLook w:val="04A0" w:firstRow="1" w:lastRow="0" w:firstColumn="1" w:lastColumn="0" w:noHBand="0" w:noVBand="1"/>
      </w:tblPr>
      <w:tblGrid>
        <w:gridCol w:w="7829"/>
        <w:gridCol w:w="6064"/>
      </w:tblGrid>
      <w:tr w:rsidR="000108BC" w:rsidRPr="000108BC" w:rsidTr="00F44F9E">
        <w:trPr>
          <w:trHeight w:val="325"/>
        </w:trPr>
        <w:tc>
          <w:tcPr>
            <w:tcW w:w="7829" w:type="dxa"/>
            <w:shd w:val="clear" w:color="auto" w:fill="DBDBDB" w:themeFill="accent3" w:themeFillTint="66"/>
            <w:vAlign w:val="center"/>
          </w:tcPr>
          <w:p w:rsidR="008F6A5F" w:rsidRPr="000108BC" w:rsidRDefault="008F6A5F" w:rsidP="00E15C23">
            <w:pPr>
              <w:tabs>
                <w:tab w:val="left" w:pos="216"/>
              </w:tabs>
              <w:ind w:left="70"/>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Tipo de Sujeto obligado:</w:t>
            </w:r>
          </w:p>
        </w:tc>
        <w:tc>
          <w:tcPr>
            <w:tcW w:w="6064" w:type="dxa"/>
            <w:shd w:val="clear" w:color="auto" w:fill="DBDBDB" w:themeFill="accent3" w:themeFillTint="66"/>
            <w:vAlign w:val="center"/>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Documento de origen:</w:t>
            </w:r>
          </w:p>
        </w:tc>
      </w:tr>
      <w:tr w:rsidR="000108BC" w:rsidRPr="000108BC" w:rsidTr="00F44F9E">
        <w:trPr>
          <w:trHeight w:val="587"/>
        </w:trPr>
        <w:tc>
          <w:tcPr>
            <w:tcW w:w="7829"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Administración Centralizada</w:t>
            </w:r>
          </w:p>
        </w:tc>
        <w:tc>
          <w:tcPr>
            <w:tcW w:w="6064" w:type="dxa"/>
          </w:tcPr>
          <w:p w:rsidR="008F6A5F" w:rsidRPr="000108BC" w:rsidRDefault="00452D85"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Ley Orgánica del Poder Ejecutivo del Estado de Oaxaca</w:t>
            </w:r>
          </w:p>
        </w:tc>
      </w:tr>
      <w:tr w:rsidR="000108BC" w:rsidRPr="000108BC" w:rsidTr="00F44F9E">
        <w:trPr>
          <w:trHeight w:val="432"/>
        </w:trPr>
        <w:tc>
          <w:tcPr>
            <w:tcW w:w="7829"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Desconcentrado</w:t>
            </w:r>
          </w:p>
        </w:tc>
        <w:tc>
          <w:tcPr>
            <w:tcW w:w="6064"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p>
        </w:tc>
      </w:tr>
      <w:tr w:rsidR="000108BC" w:rsidRPr="000108BC" w:rsidTr="00F44F9E">
        <w:trPr>
          <w:trHeight w:val="350"/>
        </w:trPr>
        <w:tc>
          <w:tcPr>
            <w:tcW w:w="7829"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Descentralizado</w:t>
            </w:r>
          </w:p>
        </w:tc>
        <w:tc>
          <w:tcPr>
            <w:tcW w:w="6064"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p>
        </w:tc>
      </w:tr>
      <w:tr w:rsidR="000108BC" w:rsidRPr="000108BC" w:rsidTr="00F44F9E">
        <w:trPr>
          <w:trHeight w:val="272"/>
        </w:trPr>
        <w:tc>
          <w:tcPr>
            <w:tcW w:w="7829"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Empresa de Participación Estatal Mayoritaria</w:t>
            </w:r>
          </w:p>
        </w:tc>
        <w:tc>
          <w:tcPr>
            <w:tcW w:w="6064"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p>
        </w:tc>
      </w:tr>
      <w:tr w:rsidR="008F6A5F" w:rsidRPr="000108BC" w:rsidTr="00F44F9E">
        <w:trPr>
          <w:trHeight w:val="191"/>
        </w:trPr>
        <w:tc>
          <w:tcPr>
            <w:tcW w:w="7829"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r w:rsidRPr="000108BC">
              <w:rPr>
                <w:rFonts w:ascii="Calibri" w:eastAsia="Times New Roman" w:hAnsi="Calibri" w:cs="Times New Roman"/>
                <w:b/>
                <w:bCs/>
                <w:sz w:val="32"/>
                <w:szCs w:val="24"/>
                <w:lang w:eastAsia="es-MX"/>
              </w:rPr>
              <w:t>Fideicomisos, Fondos y Mandatos</w:t>
            </w:r>
          </w:p>
        </w:tc>
        <w:tc>
          <w:tcPr>
            <w:tcW w:w="6064" w:type="dxa"/>
          </w:tcPr>
          <w:p w:rsidR="008F6A5F" w:rsidRPr="000108BC" w:rsidRDefault="008F6A5F" w:rsidP="00E15C23">
            <w:pPr>
              <w:tabs>
                <w:tab w:val="left" w:pos="216"/>
              </w:tabs>
              <w:jc w:val="both"/>
              <w:rPr>
                <w:rFonts w:ascii="Calibri" w:eastAsia="Times New Roman" w:hAnsi="Calibri" w:cs="Times New Roman"/>
                <w:b/>
                <w:bCs/>
                <w:sz w:val="32"/>
                <w:szCs w:val="24"/>
                <w:lang w:eastAsia="es-MX"/>
              </w:rPr>
            </w:pPr>
          </w:p>
        </w:tc>
      </w:tr>
    </w:tbl>
    <w:p w:rsidR="008F6A5F" w:rsidRPr="000108BC" w:rsidRDefault="008F6A5F" w:rsidP="00E15C23">
      <w:pPr>
        <w:tabs>
          <w:tab w:val="left" w:pos="216"/>
        </w:tabs>
        <w:spacing w:after="0" w:line="240" w:lineRule="auto"/>
        <w:ind w:left="70"/>
        <w:jc w:val="both"/>
        <w:rPr>
          <w:rFonts w:ascii="Calibri" w:eastAsia="Times New Roman" w:hAnsi="Calibri" w:cs="Times New Roman"/>
          <w:b/>
          <w:bCs/>
          <w:sz w:val="32"/>
          <w:szCs w:val="24"/>
          <w:lang w:eastAsia="es-MX"/>
        </w:rPr>
      </w:pPr>
    </w:p>
    <w:tbl>
      <w:tblPr>
        <w:tblW w:w="14596" w:type="dxa"/>
        <w:tblLayout w:type="fixed"/>
        <w:tblCellMar>
          <w:left w:w="70" w:type="dxa"/>
          <w:right w:w="70" w:type="dxa"/>
        </w:tblCellMar>
        <w:tblLook w:val="04A0" w:firstRow="1" w:lastRow="0" w:firstColumn="1" w:lastColumn="0" w:noHBand="0" w:noVBand="1"/>
      </w:tblPr>
      <w:tblGrid>
        <w:gridCol w:w="1366"/>
        <w:gridCol w:w="3286"/>
        <w:gridCol w:w="1478"/>
        <w:gridCol w:w="2445"/>
        <w:gridCol w:w="1534"/>
        <w:gridCol w:w="1467"/>
        <w:gridCol w:w="1726"/>
        <w:gridCol w:w="1294"/>
      </w:tblGrid>
      <w:tr w:rsidR="000108BC" w:rsidRPr="000108BC" w:rsidTr="00F44F9E">
        <w:trPr>
          <w:trHeight w:val="1121"/>
          <w:tblHeader/>
        </w:trPr>
        <w:tc>
          <w:tcPr>
            <w:tcW w:w="13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ARTÍCULO</w:t>
            </w:r>
          </w:p>
        </w:tc>
        <w:tc>
          <w:tcPr>
            <w:tcW w:w="3286"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FRACCIÓN</w:t>
            </w:r>
          </w:p>
        </w:tc>
        <w:tc>
          <w:tcPr>
            <w:tcW w:w="1478"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APLICA/NO APLICA</w:t>
            </w:r>
          </w:p>
        </w:tc>
        <w:tc>
          <w:tcPr>
            <w:tcW w:w="2445"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MOTIVACIÓN</w:t>
            </w:r>
          </w:p>
        </w:tc>
        <w:tc>
          <w:tcPr>
            <w:tcW w:w="1534"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FUNDAMENTO</w:t>
            </w:r>
          </w:p>
        </w:tc>
        <w:tc>
          <w:tcPr>
            <w:tcW w:w="1467"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16"/>
                <w:szCs w:val="20"/>
                <w:lang w:eastAsia="es-MX"/>
              </w:rPr>
              <w:t>UNIDAD ADMINISTRATIVA RESPONSABLE DE GENERAR LA INFORMACIÓN</w:t>
            </w:r>
          </w:p>
        </w:tc>
        <w:tc>
          <w:tcPr>
            <w:tcW w:w="172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OBSERVACIONES</w:t>
            </w:r>
          </w:p>
        </w:tc>
        <w:tc>
          <w:tcPr>
            <w:tcW w:w="12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8F6A5F" w:rsidRPr="000108BC" w:rsidRDefault="008F6A5F" w:rsidP="00E15C23">
            <w:pPr>
              <w:spacing w:after="0" w:line="240" w:lineRule="auto"/>
              <w:jc w:val="both"/>
              <w:rPr>
                <w:rFonts w:eastAsia="Times New Roman" w:cs="Times New Roman"/>
                <w:b/>
                <w:sz w:val="20"/>
                <w:szCs w:val="20"/>
                <w:lang w:eastAsia="es-MX"/>
              </w:rPr>
            </w:pPr>
            <w:r w:rsidRPr="000108BC">
              <w:rPr>
                <w:rFonts w:eastAsia="Times New Roman" w:cs="Times New Roman"/>
                <w:b/>
                <w:sz w:val="20"/>
                <w:szCs w:val="20"/>
                <w:lang w:eastAsia="es-MX"/>
              </w:rPr>
              <w:t>VALIDACIÓN IAIP</w:t>
            </w:r>
          </w:p>
        </w:tc>
      </w:tr>
      <w:tr w:rsidR="000108BC" w:rsidRPr="000108BC" w:rsidTr="000108BC">
        <w:trPr>
          <w:trHeight w:val="949"/>
        </w:trPr>
        <w:tc>
          <w:tcPr>
            <w:tcW w:w="1366" w:type="dxa"/>
            <w:vMerge w:val="restart"/>
            <w:tcBorders>
              <w:top w:val="single" w:sz="4" w:space="0" w:color="auto"/>
              <w:left w:val="single" w:sz="4" w:space="0" w:color="auto"/>
              <w:right w:val="single" w:sz="4" w:space="0" w:color="auto"/>
            </w:tcBorders>
            <w:shd w:val="clear" w:color="auto" w:fill="auto"/>
            <w:vAlign w:val="center"/>
            <w:hideMark/>
          </w:tcPr>
          <w:p w:rsidR="008F6A5F" w:rsidRPr="000108BC" w:rsidRDefault="008F6A5F"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 xml:space="preserve">En la Ley Federal y de las Entidades Federativas se contemplará que los sujetos </w:t>
            </w:r>
            <w:r w:rsidRPr="000108BC">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F6A5F" w:rsidRPr="000108BC" w:rsidRDefault="008F6A5F" w:rsidP="00E15C23">
            <w:pPr>
              <w:spacing w:after="0" w:line="240" w:lineRule="auto"/>
              <w:jc w:val="both"/>
              <w:rPr>
                <w:rFonts w:eastAsia="Times New Roman" w:cs="Times New Roman"/>
                <w:i/>
                <w:iCs/>
                <w:sz w:val="18"/>
                <w:szCs w:val="18"/>
                <w:lang w:eastAsia="es-MX"/>
              </w:rPr>
            </w:pPr>
            <w:r w:rsidRPr="000108BC">
              <w:rPr>
                <w:rFonts w:eastAsia="Times New Roman" w:cs="Times New Roman"/>
                <w:i/>
                <w:iCs/>
                <w:sz w:val="18"/>
                <w:szCs w:val="18"/>
                <w:lang w:eastAsia="es-MX"/>
              </w:rPr>
              <w:br/>
              <w:t>…</w:t>
            </w:r>
          </w:p>
        </w:tc>
        <w:tc>
          <w:tcPr>
            <w:tcW w:w="3286" w:type="dxa"/>
            <w:tcBorders>
              <w:top w:val="single" w:sz="4" w:space="0" w:color="auto"/>
              <w:left w:val="nil"/>
              <w:bottom w:val="single" w:sz="4" w:space="0" w:color="auto"/>
              <w:right w:val="single" w:sz="4" w:space="0" w:color="auto"/>
            </w:tcBorders>
            <w:shd w:val="clear" w:color="auto" w:fill="auto"/>
            <w:hideMark/>
          </w:tcPr>
          <w:p w:rsidR="008F6A5F" w:rsidRPr="000108BC" w:rsidRDefault="008F6A5F"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 xml:space="preserve">Fracción I </w:t>
            </w:r>
            <w:r w:rsidRPr="000108BC">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8F6A5F" w:rsidRPr="000108BC" w:rsidRDefault="008F6A5F" w:rsidP="00E15C23">
            <w:pPr>
              <w:spacing w:after="0" w:line="240" w:lineRule="auto"/>
              <w:jc w:val="both"/>
              <w:rPr>
                <w:rFonts w:eastAsia="Times New Roman" w:cs="Times New Roman"/>
                <w:i/>
                <w:iCs/>
                <w:sz w:val="18"/>
                <w:szCs w:val="18"/>
                <w:lang w:eastAsia="es-MX"/>
              </w:rPr>
            </w:pPr>
          </w:p>
        </w:tc>
        <w:tc>
          <w:tcPr>
            <w:tcW w:w="1478" w:type="dxa"/>
            <w:tcBorders>
              <w:top w:val="single" w:sz="4" w:space="0" w:color="auto"/>
              <w:left w:val="nil"/>
              <w:bottom w:val="single" w:sz="4" w:space="0" w:color="auto"/>
              <w:right w:val="single" w:sz="4" w:space="0" w:color="auto"/>
            </w:tcBorders>
            <w:shd w:val="clear" w:color="auto" w:fill="auto"/>
            <w:vAlign w:val="center"/>
          </w:tcPr>
          <w:p w:rsidR="008F6A5F" w:rsidRPr="000108BC" w:rsidRDefault="00484EE9"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8F6A5F" w:rsidRPr="000108BC" w:rsidRDefault="00452D85"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El actuar de la Secretaría del Trabajo se rige por la Legislación en materia laboral</w:t>
            </w:r>
          </w:p>
        </w:tc>
        <w:tc>
          <w:tcPr>
            <w:tcW w:w="1534" w:type="dxa"/>
            <w:tcBorders>
              <w:top w:val="single" w:sz="4" w:space="0" w:color="auto"/>
              <w:left w:val="nil"/>
              <w:bottom w:val="single" w:sz="4" w:space="0" w:color="auto"/>
              <w:right w:val="single" w:sz="4" w:space="0" w:color="auto"/>
            </w:tcBorders>
            <w:shd w:val="clear" w:color="auto" w:fill="auto"/>
            <w:vAlign w:val="center"/>
          </w:tcPr>
          <w:p w:rsidR="008F6A5F" w:rsidRPr="000108BC" w:rsidRDefault="00452D85"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39 de la Ley Orgánica del Poder Ejecutivo del Estado de Oaxaca</w:t>
            </w:r>
          </w:p>
        </w:tc>
        <w:tc>
          <w:tcPr>
            <w:tcW w:w="1467" w:type="dxa"/>
            <w:tcBorders>
              <w:top w:val="single" w:sz="4" w:space="0" w:color="auto"/>
              <w:left w:val="nil"/>
              <w:bottom w:val="single" w:sz="4" w:space="0" w:color="auto"/>
              <w:right w:val="single" w:sz="4" w:space="0" w:color="auto"/>
            </w:tcBorders>
            <w:vAlign w:val="center"/>
          </w:tcPr>
          <w:p w:rsidR="008F6A5F" w:rsidRPr="000108BC" w:rsidRDefault="00452D85"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single" w:sz="4" w:space="0" w:color="auto"/>
              <w:left w:val="single" w:sz="4" w:space="0" w:color="auto"/>
              <w:bottom w:val="single" w:sz="4" w:space="0" w:color="auto"/>
              <w:right w:val="single" w:sz="4" w:space="0" w:color="auto"/>
            </w:tcBorders>
            <w:vAlign w:val="center"/>
          </w:tcPr>
          <w:p w:rsidR="008F6A5F" w:rsidRPr="000108BC" w:rsidRDefault="00452D85"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single" w:sz="4" w:space="0" w:color="auto"/>
              <w:left w:val="single" w:sz="4" w:space="0" w:color="auto"/>
              <w:bottom w:val="single" w:sz="4" w:space="0" w:color="auto"/>
              <w:right w:val="single" w:sz="4" w:space="0" w:color="auto"/>
            </w:tcBorders>
            <w:vAlign w:val="center"/>
          </w:tcPr>
          <w:p w:rsidR="008F6A5F" w:rsidRPr="000108BC" w:rsidRDefault="00473F0B" w:rsidP="000108BC">
            <w:pPr>
              <w:spacing w:after="0" w:line="240" w:lineRule="auto"/>
              <w:jc w:val="center"/>
              <w:rPr>
                <w:rFonts w:eastAsia="Times New Roman" w:cs="Times New Roman"/>
                <w:sz w:val="18"/>
                <w:szCs w:val="18"/>
                <w:lang w:eastAsia="es-MX"/>
              </w:rPr>
            </w:pPr>
            <w:r w:rsidRPr="000108BC">
              <w:rPr>
                <w:rFonts w:eastAsia="Times New Roman" w:cs="Times New Roman"/>
                <w:sz w:val="18"/>
                <w:szCs w:val="18"/>
                <w:lang w:eastAsia="es-MX"/>
              </w:rPr>
              <w:t>VALIDADA</w:t>
            </w:r>
          </w:p>
        </w:tc>
      </w:tr>
      <w:tr w:rsidR="000108BC" w:rsidRPr="000108BC" w:rsidTr="000108BC">
        <w:trPr>
          <w:trHeight w:val="2502"/>
        </w:trPr>
        <w:tc>
          <w:tcPr>
            <w:tcW w:w="1366" w:type="dxa"/>
            <w:vMerge/>
            <w:tcBorders>
              <w:left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II </w:t>
            </w:r>
            <w:r w:rsidRPr="000108BC">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473F0B" w:rsidRPr="000108BC" w:rsidRDefault="00473F0B" w:rsidP="00E15C23">
            <w:pPr>
              <w:spacing w:after="0" w:line="240" w:lineRule="auto"/>
              <w:jc w:val="both"/>
              <w:rPr>
                <w:rFonts w:eastAsia="Times New Roman" w:cs="Times New Roman"/>
                <w:i/>
                <w:iCs/>
                <w:sz w:val="18"/>
                <w:szCs w:val="18"/>
                <w:lang w:eastAsia="es-MX"/>
              </w:rPr>
            </w:pP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630"/>
        </w:trPr>
        <w:tc>
          <w:tcPr>
            <w:tcW w:w="1366" w:type="dxa"/>
            <w:vMerge/>
            <w:tcBorders>
              <w:left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III </w:t>
            </w:r>
            <w:r w:rsidRPr="000108BC">
              <w:rPr>
                <w:rFonts w:eastAsia="Times New Roman" w:cs="Times New Roman"/>
                <w:i/>
                <w:iCs/>
                <w:sz w:val="18"/>
                <w:szCs w:val="18"/>
                <w:lang w:eastAsia="es-MX"/>
              </w:rPr>
              <w:t>Las facultades de cada Área;</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Reglamento Interno de la SETRAO</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146"/>
        </w:trPr>
        <w:tc>
          <w:tcPr>
            <w:tcW w:w="1366" w:type="dxa"/>
            <w:vMerge/>
            <w:tcBorders>
              <w:left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IV </w:t>
            </w:r>
            <w:r w:rsidRPr="000108BC">
              <w:rPr>
                <w:rFonts w:eastAsia="Times New Roman" w:cs="Times New Roman"/>
                <w:i/>
                <w:iCs/>
                <w:sz w:val="18"/>
                <w:szCs w:val="18"/>
                <w:lang w:eastAsia="es-MX"/>
              </w:rPr>
              <w:t>Las metas y objetivos de las Áreas de conformidad con sus programas operativos;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529"/>
        </w:trPr>
        <w:tc>
          <w:tcPr>
            <w:tcW w:w="1366" w:type="dxa"/>
            <w:vMerge/>
            <w:tcBorders>
              <w:left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Fracción V</w:t>
            </w:r>
            <w:r w:rsidRPr="000108BC">
              <w:rPr>
                <w:rFonts w:eastAsia="Times New Roman" w:cs="Times New Roman"/>
                <w:i/>
                <w:iCs/>
                <w:sz w:val="18"/>
                <w:szCs w:val="18"/>
                <w:lang w:eastAsia="es-MX"/>
              </w:rPr>
              <w:br w:type="page"/>
            </w:r>
            <w:r w:rsidRPr="000108BC">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a lo establecido en los Lineamientos Técnicos Generales para la publicación, homologación y estandarización de la información.</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68"/>
        </w:trPr>
        <w:tc>
          <w:tcPr>
            <w:tcW w:w="1366" w:type="dxa"/>
            <w:vMerge/>
            <w:tcBorders>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VI </w:t>
            </w:r>
            <w:r w:rsidRPr="000108BC">
              <w:rPr>
                <w:rFonts w:eastAsia="Times New Roman" w:cs="Times New Roman"/>
                <w:i/>
                <w:iCs/>
                <w:sz w:val="18"/>
                <w:szCs w:val="18"/>
                <w:lang w:eastAsia="es-MX"/>
              </w:rPr>
              <w:t>Los indicadores que permitan rendir cuenta de sus objetivos y resultados;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cantSplit/>
          <w:trHeight w:val="194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VII </w:t>
            </w:r>
            <w:r w:rsidRPr="000108BC">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301"/>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VIII </w:t>
            </w:r>
            <w:r w:rsidRPr="000108BC">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a lo establecido en los Lineamientos Técnicos Generales para la publicación, homologación y estandarización de la información.</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79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IX </w:t>
            </w:r>
            <w:r w:rsidRPr="000108BC">
              <w:rPr>
                <w:rFonts w:eastAsia="Times New Roman" w:cs="Times New Roman"/>
                <w:i/>
                <w:iCs/>
                <w:sz w:val="18"/>
                <w:szCs w:val="18"/>
                <w:lang w:eastAsia="es-MX"/>
              </w:rPr>
              <w:t>Los gastos de representación y viáticos, así como el objeto e informe de comisión correspondiente;</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372"/>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type="page"/>
            </w:r>
            <w:r w:rsidRPr="000108BC">
              <w:rPr>
                <w:rFonts w:eastAsia="Times New Roman" w:cs="Times New Roman"/>
                <w:i/>
                <w:iCs/>
                <w:sz w:val="18"/>
                <w:szCs w:val="18"/>
                <w:lang w:eastAsia="es-MX"/>
              </w:rPr>
              <w:br w:type="page"/>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Fracción X</w:t>
            </w:r>
            <w:r w:rsidRPr="000108BC">
              <w:rPr>
                <w:rFonts w:eastAsia="Times New Roman" w:cs="Times New Roman"/>
                <w:i/>
                <w:iCs/>
                <w:sz w:val="18"/>
                <w:szCs w:val="18"/>
                <w:lang w:eastAsia="es-MX"/>
              </w:rPr>
              <w:br w:type="page"/>
            </w:r>
            <w:r w:rsidRPr="000108BC">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 xml:space="preserve"> De acuerdo a lo previsto en el artículo 46 de la Ley Orgánica del Poder Ejecutivo del Estado de Oaxaca, le corresponde a la Secretaría de Administración el despacho de dichos asuntos y solo el número de plazas asignadas a la SETRAO correspondería informar. </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72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XI </w:t>
            </w:r>
            <w:r w:rsidRPr="000108BC">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6956F5">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a lo establecido en los Lineamientos Técnicos Generales para la publicación, homologación y estandarización de la información en relación con los artículos 3 y 6 de su Reglamento Interior.</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386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XII </w:t>
            </w:r>
            <w:r w:rsidRPr="000108BC">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Por tratarse de datos personales que requieren la autorización del titular de los mismos para su publicación es competencia de la Secretaria de Administración en términos del artículo 47 fracción XIV</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pStyle w:val="Textocomentario"/>
              <w:jc w:val="both"/>
            </w:pPr>
            <w:r w:rsidRPr="000108BC">
              <w:rPr>
                <w:rFonts w:eastAsia="Times New Roman" w:cs="Times New Roman"/>
                <w:sz w:val="18"/>
                <w:szCs w:val="18"/>
                <w:lang w:eastAsia="es-MX"/>
              </w:rPr>
              <w:t xml:space="preserve">Artículos 12 y 62 de la Ley de Transparencia y Acceso a la Información Pública para el Estado de Oaxaca; 70 fracción XII de la Ley General de Transparencia y el </w:t>
            </w:r>
            <w:r w:rsidRPr="000108BC">
              <w:rPr>
                <w:rStyle w:val="Refdecomentario"/>
              </w:rPr>
              <w:t xml:space="preserve"> 47 fracción  XIV de la Ley Orgánica del Poder Ejecutivo del Estado de Oaxaca.</w:t>
            </w:r>
          </w:p>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www.administracion.oaxaca.gob.mx</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21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XIII </w:t>
            </w:r>
            <w:r w:rsidRPr="000108BC">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6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XIV </w:t>
            </w:r>
            <w:r w:rsidRPr="000108BC">
              <w:rPr>
                <w:rFonts w:eastAsia="Times New Roman" w:cs="Times New Roman"/>
                <w:i/>
                <w:iCs/>
                <w:sz w:val="18"/>
                <w:szCs w:val="18"/>
                <w:lang w:eastAsia="es-MX"/>
              </w:rPr>
              <w:t>Las convocatorias a concursos para ocupar cargos públicos y los resultados de los mismos;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De acuerdo a lo previsto en el artículo 46 de la Ley Orgánica del Poder Ejecutivo del Estado de Oaxaca, le corresponde a la Secretaría de Administración el despacho de dichos asuntos.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46 de la Ley Orgánica del Poder Ejecutivo del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912"/>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type="page"/>
            </w:r>
            <w:r w:rsidRPr="000108BC">
              <w:rPr>
                <w:rFonts w:eastAsia="Times New Roman" w:cs="Times New Roman"/>
                <w:i/>
                <w:iCs/>
                <w:sz w:val="18"/>
                <w:szCs w:val="18"/>
                <w:lang w:eastAsia="es-MX"/>
              </w:rPr>
              <w:br w:type="page"/>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Fracción XV</w:t>
            </w:r>
            <w:r w:rsidRPr="000108BC">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0108BC">
              <w:rPr>
                <w:rFonts w:eastAsia="Times New Roman" w:cs="Times New Roman"/>
                <w:i/>
                <w:iCs/>
                <w:sz w:val="18"/>
                <w:szCs w:val="18"/>
                <w:lang w:eastAsia="es-MX"/>
              </w:rPr>
              <w:br w:type="page"/>
              <w:t>...</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de lo establecido en el artículo 11 de la Ley de Presupuesto y Responsabilidad Hacendaria.</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227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XVI </w:t>
            </w:r>
            <w:r w:rsidRPr="000108BC">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De acuerdo a lo previsto en el artículo 46 de la Ley Orgánica del Poder Ejecutivo del Estado de Oaxaca, le corresponde a la Secretaría de Administración el despacho de dichos asuntos.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46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www.administracion.oaxaca.gob.mx</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72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type="page"/>
            </w:r>
            <w:r w:rsidRPr="000108BC">
              <w:rPr>
                <w:rFonts w:eastAsia="Times New Roman" w:cs="Times New Roman"/>
                <w:i/>
                <w:iCs/>
                <w:sz w:val="18"/>
                <w:szCs w:val="18"/>
                <w:lang w:eastAsia="es-MX"/>
              </w:rPr>
              <w:br w:type="page"/>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Fracción XVII</w:t>
            </w:r>
            <w:r w:rsidRPr="000108BC">
              <w:rPr>
                <w:rFonts w:eastAsia="Times New Roman" w:cs="Times New Roman"/>
                <w:i/>
                <w:iCs/>
                <w:sz w:val="18"/>
                <w:szCs w:val="18"/>
                <w:lang w:eastAsia="es-MX"/>
              </w:rPr>
              <w:br w:type="page"/>
            </w:r>
            <w:r w:rsidRPr="000108BC">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21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XVIII </w:t>
            </w:r>
            <w:r w:rsidRPr="000108BC">
              <w:rPr>
                <w:rFonts w:eastAsia="Times New Roman" w:cs="Times New Roman"/>
                <w:i/>
                <w:iCs/>
                <w:sz w:val="18"/>
                <w:szCs w:val="18"/>
                <w:lang w:eastAsia="es-MX"/>
              </w:rPr>
              <w:t>El listado de Servidores Públicos con sanciones administrativas definitivas, especificando la causa de sanción y la disposición;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De acuerdo a lo previsto en el artículo 47 de la Ley Orgánica del Poder Ejecutivo del Estado de Oaxaca, le corresponde a la Secretaría de la Contraloría y Transparencia Gubernamental el despacho de dichos asuntos.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47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http://www.contraloria.oaxaca.gob.mx/?page_id=351</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016"/>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XIX </w:t>
            </w:r>
            <w:r w:rsidRPr="000108BC">
              <w:rPr>
                <w:rFonts w:eastAsia="Times New Roman" w:cs="Times New Roman"/>
                <w:i/>
                <w:iCs/>
                <w:sz w:val="18"/>
                <w:szCs w:val="18"/>
                <w:lang w:eastAsia="es-MX"/>
              </w:rPr>
              <w:t>Los servicios que ofrecen señalando los requisitos para acceder a ellos;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27"/>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 </w:t>
            </w:r>
            <w:r w:rsidRPr="000108BC">
              <w:rPr>
                <w:rFonts w:eastAsia="Times New Roman" w:cs="Times New Roman"/>
                <w:i/>
                <w:iCs/>
                <w:sz w:val="18"/>
                <w:szCs w:val="18"/>
                <w:lang w:eastAsia="es-MX"/>
              </w:rPr>
              <w:t>Los trámites, requisitos y formatos que ofrecen;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 xml:space="preserve">la Ley de Transparencia y Acceso a la Información </w:t>
            </w:r>
            <w:r w:rsidRPr="000108BC">
              <w:rPr>
                <w:rFonts w:eastAsia="Times New Roman" w:cs="Times New Roman"/>
                <w:sz w:val="18"/>
                <w:szCs w:val="18"/>
                <w:lang w:eastAsia="es-MX"/>
              </w:rPr>
              <w:lastRenderedPageBreak/>
              <w:t>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lastRenderedPageBreak/>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91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XXI </w:t>
            </w:r>
            <w:r w:rsidRPr="000108BC">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146"/>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XXII </w:t>
            </w:r>
            <w:r w:rsidRPr="000108BC">
              <w:rPr>
                <w:rFonts w:eastAsia="Times New Roman" w:cs="Times New Roman"/>
                <w:i/>
                <w:iCs/>
                <w:sz w:val="18"/>
                <w:szCs w:val="18"/>
                <w:lang w:eastAsia="es-MX"/>
              </w:rPr>
              <w:t>La información relativa a la deuda pública, en términos de la normatividad aplicable;</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No Aplica</w:t>
            </w:r>
          </w:p>
        </w:tc>
        <w:tc>
          <w:tcPr>
            <w:tcW w:w="2445"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De acuerdo a lo previsto en el artículo 45 de la Ley Orgánica del Poder Ejecutivo del Estado de Oaxaca, le corresponde a la Secretaría de Finanzas el despacho de dichos asuntos.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45 de la Ley Orgánica del Poder Ejecutivo del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52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XXIII </w:t>
            </w:r>
            <w:r w:rsidRPr="000108BC">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de lo establecido en los Lineamientos Técnicos Generales para la publicación homologación y estandarización de la Información</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cantSplit/>
          <w:trHeight w:val="152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XXIV </w:t>
            </w:r>
            <w:r w:rsidRPr="000108BC">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87"/>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XXV </w:t>
            </w:r>
            <w:r w:rsidRPr="000108BC">
              <w:rPr>
                <w:rFonts w:eastAsia="Times New Roman" w:cs="Times New Roman"/>
                <w:i/>
                <w:iCs/>
                <w:sz w:val="18"/>
                <w:szCs w:val="18"/>
                <w:lang w:eastAsia="es-MX"/>
              </w:rPr>
              <w:t>El resultado de la dictaminación de los estados financieros;</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No 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No aplica a este Sujeto Obligado porque no reúne los requisitos establecidos en el Código Fiscal de la Federación</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32 A del Código Fiscal de la Federación</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255"/>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XXVI </w:t>
            </w:r>
            <w:r w:rsidRPr="000108BC">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Esta Secretaría del Trabajo no cuanta con esas atribuciones o facultades.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39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2292"/>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XXVII </w:t>
            </w:r>
            <w:r w:rsidRPr="000108BC">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224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XXVIII </w:t>
            </w:r>
            <w:r w:rsidRPr="000108BC">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 xml:space="preserve">Es aplicable en términos de lo establecido en los Lineamientos Técnicos Generales para la publicación, homologación y estandarización de la información, </w:t>
            </w:r>
            <w:r w:rsidRPr="000108BC">
              <w:rPr>
                <w:rFonts w:ascii="Arial" w:hAnsi="Arial" w:cs="Arial"/>
                <w:sz w:val="16"/>
                <w:szCs w:val="26"/>
                <w:shd w:val="clear" w:color="auto" w:fill="FFFFFF"/>
              </w:rPr>
              <w:t>www.</w:t>
            </w:r>
            <w:r w:rsidRPr="000108BC">
              <w:rPr>
                <w:rFonts w:ascii="Arial" w:hAnsi="Arial" w:cs="Arial"/>
                <w:bCs/>
                <w:sz w:val="16"/>
                <w:szCs w:val="26"/>
                <w:shd w:val="clear" w:color="auto" w:fill="FFFFFF"/>
              </w:rPr>
              <w:t>administracion</w:t>
            </w:r>
            <w:r w:rsidRPr="000108BC">
              <w:rPr>
                <w:rFonts w:ascii="Arial" w:hAnsi="Arial" w:cs="Arial"/>
                <w:sz w:val="16"/>
                <w:szCs w:val="26"/>
                <w:shd w:val="clear" w:color="auto" w:fill="FFFFFF"/>
              </w:rPr>
              <w:t>.</w:t>
            </w:r>
            <w:r w:rsidRPr="000108BC">
              <w:rPr>
                <w:rFonts w:ascii="Arial" w:hAnsi="Arial" w:cs="Arial"/>
                <w:bCs/>
                <w:sz w:val="16"/>
                <w:szCs w:val="26"/>
                <w:shd w:val="clear" w:color="auto" w:fill="FFFFFF"/>
              </w:rPr>
              <w:t>oaxaca</w:t>
            </w:r>
            <w:r w:rsidRPr="000108BC">
              <w:rPr>
                <w:rFonts w:ascii="Arial" w:hAnsi="Arial" w:cs="Arial"/>
                <w:sz w:val="16"/>
                <w:szCs w:val="26"/>
                <w:shd w:val="clear" w:color="auto" w:fill="FFFFFF"/>
              </w:rPr>
              <w:t>.gob.mx</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cantSplit/>
          <w:trHeight w:val="85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XXIX </w:t>
            </w:r>
            <w:r w:rsidRPr="000108BC">
              <w:rPr>
                <w:rFonts w:eastAsia="Times New Roman" w:cs="Times New Roman"/>
                <w:i/>
                <w:iCs/>
                <w:sz w:val="18"/>
                <w:szCs w:val="18"/>
                <w:lang w:eastAsia="es-MX"/>
              </w:rPr>
              <w:t xml:space="preserve">Los informes que por disposición legal generen los sujetos obligados; </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Lo relativo a las solicitudes de acceso a la información pública.</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22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 </w:t>
            </w:r>
            <w:r w:rsidRPr="000108BC">
              <w:rPr>
                <w:rFonts w:eastAsia="Times New Roman" w:cs="Times New Roman"/>
                <w:i/>
                <w:iCs/>
                <w:sz w:val="18"/>
                <w:szCs w:val="18"/>
                <w:lang w:eastAsia="es-MX"/>
              </w:rPr>
              <w:t>Las estadísticas que generen en cumplimiento de sus facultades, competencias o funciones con la mayor desagregación posible;</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 xml:space="preserve">Es aplicable en términos de lo establecido en los Lineamientos Técnicos Generales para la publicación, homologación y </w:t>
            </w:r>
            <w:r w:rsidRPr="000108BC">
              <w:rPr>
                <w:rFonts w:eastAsia="Times New Roman" w:cs="Times New Roman"/>
                <w:sz w:val="18"/>
                <w:szCs w:val="18"/>
                <w:lang w:eastAsia="es-MX"/>
              </w:rPr>
              <w:lastRenderedPageBreak/>
              <w:t>estandarización de la información</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lastRenderedPageBreak/>
              <w:t>VALIDADA</w:t>
            </w:r>
          </w:p>
        </w:tc>
      </w:tr>
      <w:tr w:rsidR="000108BC" w:rsidRPr="000108BC" w:rsidTr="000108BC">
        <w:trPr>
          <w:trHeight w:val="85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XXXI </w:t>
            </w:r>
            <w:r w:rsidRPr="000108BC">
              <w:rPr>
                <w:rFonts w:eastAsia="Times New Roman" w:cs="Times New Roman"/>
                <w:i/>
                <w:iCs/>
                <w:sz w:val="18"/>
                <w:szCs w:val="18"/>
                <w:lang w:eastAsia="es-MX"/>
              </w:rPr>
              <w:t>Informe de avances programáticos o presupuestales, balances generales y su estado financiero;</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68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XXXII </w:t>
            </w:r>
            <w:r w:rsidRPr="000108BC">
              <w:rPr>
                <w:rFonts w:eastAsia="Times New Roman" w:cs="Times New Roman"/>
                <w:i/>
                <w:iCs/>
                <w:sz w:val="18"/>
                <w:szCs w:val="18"/>
                <w:lang w:eastAsia="es-MX"/>
              </w:rPr>
              <w:t>Padrón de proveedores y contratistas;</w:t>
            </w:r>
          </w:p>
        </w:tc>
        <w:tc>
          <w:tcPr>
            <w:tcW w:w="1478" w:type="dxa"/>
            <w:tcBorders>
              <w:top w:val="nil"/>
              <w:left w:val="nil"/>
              <w:bottom w:val="single" w:sz="4" w:space="0" w:color="auto"/>
              <w:right w:val="single" w:sz="4" w:space="0" w:color="auto"/>
            </w:tcBorders>
            <w:shd w:val="clear" w:color="auto" w:fill="auto"/>
            <w:noWrap/>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81"/>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XXXIII </w:t>
            </w:r>
            <w:r w:rsidRPr="000108BC">
              <w:rPr>
                <w:rFonts w:eastAsia="Times New Roman" w:cs="Times New Roman"/>
                <w:i/>
                <w:iCs/>
                <w:sz w:val="18"/>
                <w:szCs w:val="18"/>
                <w:lang w:eastAsia="es-MX"/>
              </w:rPr>
              <w:t>Los convenios de coordinación de concertación con los sectores social y privado;</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981"/>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XXXIV </w:t>
            </w:r>
            <w:r w:rsidRPr="000108BC">
              <w:rPr>
                <w:rFonts w:eastAsia="Times New Roman" w:cs="Times New Roman"/>
                <w:i/>
                <w:iCs/>
                <w:sz w:val="18"/>
                <w:szCs w:val="18"/>
                <w:lang w:eastAsia="es-MX"/>
              </w:rPr>
              <w:t>El inventario de bienes muebles e inmuebles en posesión y propiedad;</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65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XXXV </w:t>
            </w:r>
            <w:r w:rsidRPr="000108BC">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Oficina del Secretario</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Hasta el día de hoy no se ha emitido una recomendación de manera directa a la SETRAO.</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39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XXXVI </w:t>
            </w:r>
            <w:r w:rsidRPr="000108BC">
              <w:rPr>
                <w:rFonts w:eastAsia="Times New Roman" w:cs="Times New Roman"/>
                <w:i/>
                <w:iCs/>
                <w:sz w:val="18"/>
                <w:szCs w:val="18"/>
                <w:lang w:eastAsia="es-MX"/>
              </w:rPr>
              <w:t>Las resoluciones y laudos que se emitan en procesos o procedimientos seguidos en forma de juicio;</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17"/>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XXXVII </w:t>
            </w:r>
            <w:r w:rsidRPr="000108BC">
              <w:rPr>
                <w:rFonts w:eastAsia="Times New Roman" w:cs="Times New Roman"/>
                <w:i/>
                <w:iCs/>
                <w:sz w:val="18"/>
                <w:szCs w:val="18"/>
                <w:lang w:eastAsia="es-MX"/>
              </w:rPr>
              <w:t>Los mecanismos de participación ciudadana;</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 xml:space="preserve">Es aplicable en términos de lo establecido en el artículo 25 Inciso C fracción IV de la </w:t>
            </w:r>
            <w:r w:rsidRPr="000108BC">
              <w:rPr>
                <w:rFonts w:eastAsia="Times New Roman" w:cs="Times New Roman"/>
                <w:sz w:val="18"/>
                <w:szCs w:val="18"/>
                <w:lang w:eastAsia="es-MX"/>
              </w:rPr>
              <w:lastRenderedPageBreak/>
              <w:t>Constitución Política del Estado Libre y Soberano de Oaxaca</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lastRenderedPageBreak/>
              <w:t>VALIDADA</w:t>
            </w:r>
          </w:p>
        </w:tc>
      </w:tr>
      <w:tr w:rsidR="000108BC" w:rsidRPr="000108BC" w:rsidTr="000108BC">
        <w:trPr>
          <w:trHeight w:val="152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XXXVIII </w:t>
            </w:r>
            <w:r w:rsidRPr="000108BC">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Se encuentra publicado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89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XXXIX </w:t>
            </w:r>
            <w:r w:rsidRPr="000108BC">
              <w:rPr>
                <w:rFonts w:eastAsia="Times New Roman" w:cs="Times New Roman"/>
                <w:i/>
                <w:iCs/>
                <w:sz w:val="18"/>
                <w:szCs w:val="18"/>
                <w:lang w:eastAsia="es-MX"/>
              </w:rPr>
              <w:t>Las actas y resoluciones del Comité de Transparencia de los sujetos obligados;</w:t>
            </w:r>
          </w:p>
        </w:tc>
        <w:tc>
          <w:tcPr>
            <w:tcW w:w="1478" w:type="dxa"/>
            <w:tcBorders>
              <w:top w:val="nil"/>
              <w:left w:val="nil"/>
              <w:bottom w:val="nil"/>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nil"/>
              <w:left w:val="nil"/>
              <w:bottom w:val="nil"/>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21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 </w:t>
            </w:r>
            <w:r w:rsidRPr="000108BC">
              <w:rPr>
                <w:rFonts w:eastAsia="Times New Roman" w:cs="Times New Roman"/>
                <w:i/>
                <w:iCs/>
                <w:sz w:val="18"/>
                <w:szCs w:val="18"/>
                <w:lang w:eastAsia="es-MX"/>
              </w:rPr>
              <w:t>Todas las evaluaciones y encuestas que hagan los sujetos obligados a programas financiados con recursos públicos;</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del artículo 7 fracción II del su Reglamento Interior</w:t>
            </w:r>
          </w:p>
        </w:tc>
        <w:tc>
          <w:tcPr>
            <w:tcW w:w="1294" w:type="dxa"/>
            <w:tcBorders>
              <w:top w:val="nil"/>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50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XLI </w:t>
            </w:r>
            <w:r w:rsidRPr="000108BC">
              <w:rPr>
                <w:rFonts w:eastAsia="Times New Roman" w:cs="Times New Roman"/>
                <w:i/>
                <w:iCs/>
                <w:sz w:val="18"/>
                <w:szCs w:val="18"/>
                <w:lang w:eastAsia="es-MX"/>
              </w:rPr>
              <w:t>Los estudios financiados con recursos públicos;</w:t>
            </w:r>
          </w:p>
        </w:tc>
        <w:tc>
          <w:tcPr>
            <w:tcW w:w="1478" w:type="dxa"/>
            <w:tcBorders>
              <w:top w:val="nil"/>
              <w:left w:val="nil"/>
              <w:bottom w:val="single" w:sz="4" w:space="0" w:color="auto"/>
              <w:right w:val="single" w:sz="4" w:space="0" w:color="auto"/>
            </w:tcBorders>
            <w:shd w:val="clear" w:color="auto" w:fill="auto"/>
            <w:vAlign w:val="center"/>
          </w:tcPr>
          <w:p w:rsidR="00473F0B" w:rsidRPr="000108BC" w:rsidRDefault="00473F0B" w:rsidP="00607B45">
            <w:pPr>
              <w:spacing w:after="0" w:line="240" w:lineRule="auto"/>
              <w:jc w:val="center"/>
              <w:rPr>
                <w:rFonts w:eastAsia="Times New Roman" w:cs="Times New Roman"/>
                <w:sz w:val="18"/>
                <w:szCs w:val="18"/>
                <w:lang w:eastAsia="es-MX"/>
              </w:rPr>
            </w:pPr>
            <w:r w:rsidRPr="000108BC">
              <w:rPr>
                <w:rFonts w:eastAsia="Times New Roman" w:cs="Times New Roman"/>
                <w:sz w:val="18"/>
                <w:szCs w:val="18"/>
                <w:lang w:eastAsia="es-MX"/>
              </w:rPr>
              <w:t>NO</w:t>
            </w:r>
          </w:p>
        </w:tc>
        <w:tc>
          <w:tcPr>
            <w:tcW w:w="2445" w:type="dxa"/>
            <w:tcBorders>
              <w:top w:val="nil"/>
              <w:left w:val="nil"/>
              <w:bottom w:val="single" w:sz="4" w:space="0" w:color="auto"/>
              <w:right w:val="single" w:sz="4" w:space="0" w:color="auto"/>
            </w:tcBorders>
            <w:shd w:val="clear" w:color="auto" w:fill="auto"/>
            <w:vAlign w:val="center"/>
          </w:tcPr>
          <w:p w:rsidR="00473F0B" w:rsidRPr="000108BC" w:rsidRDefault="00473F0B" w:rsidP="00607B45">
            <w:pPr>
              <w:spacing w:after="0" w:line="240" w:lineRule="auto"/>
              <w:rPr>
                <w:rFonts w:eastAsia="Times New Roman" w:cs="Times New Roman"/>
                <w:sz w:val="18"/>
                <w:szCs w:val="18"/>
                <w:lang w:eastAsia="es-MX"/>
              </w:rPr>
            </w:pPr>
            <w:r w:rsidRPr="000108BC">
              <w:rPr>
                <w:rFonts w:eastAsia="Times New Roman" w:cs="Times New Roman"/>
                <w:sz w:val="18"/>
                <w:szCs w:val="18"/>
                <w:lang w:eastAsia="es-MX"/>
              </w:rPr>
              <w:t>Esta Secretaría del Trabajo no cuanta con esas atribuciones o facultades.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607B45">
            <w:pPr>
              <w:spacing w:after="0" w:line="240" w:lineRule="auto"/>
              <w:rPr>
                <w:rFonts w:eastAsia="Times New Roman" w:cs="Times New Roman"/>
                <w:sz w:val="18"/>
                <w:szCs w:val="18"/>
                <w:lang w:eastAsia="es-MX"/>
              </w:rPr>
            </w:pPr>
            <w:r w:rsidRPr="000108BC">
              <w:rPr>
                <w:rFonts w:eastAsia="Times New Roman" w:cs="Times New Roman"/>
                <w:sz w:val="18"/>
                <w:szCs w:val="18"/>
                <w:lang w:eastAsia="es-MX"/>
              </w:rPr>
              <w:t>Artículo 39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57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single" w:sz="4" w:space="0" w:color="auto"/>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XLII </w:t>
            </w:r>
            <w:r w:rsidRPr="000108BC">
              <w:rPr>
                <w:rFonts w:eastAsia="Times New Roman" w:cs="Times New Roman"/>
                <w:i/>
                <w:iCs/>
                <w:sz w:val="18"/>
                <w:szCs w:val="18"/>
                <w:lang w:eastAsia="es-MX"/>
              </w:rPr>
              <w:t>El listado de jubilados y pensionados y el monto que reciben;</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De acuerdo a lo previsto en el artículo 46 de la Ley Orgánica del Poder Ejecutivo del Estado de Oaxaca, le corresponde a la Secretaría de Administración el despacho de dichos asuntos.</w:t>
            </w: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46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 Recursos Humanos</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0108BC" w:rsidP="00E15C23">
            <w:pPr>
              <w:spacing w:after="0" w:line="240" w:lineRule="auto"/>
              <w:jc w:val="both"/>
              <w:rPr>
                <w:rFonts w:eastAsia="Times New Roman" w:cs="Times New Roman"/>
                <w:sz w:val="18"/>
                <w:szCs w:val="18"/>
                <w:lang w:eastAsia="es-MX"/>
              </w:rPr>
            </w:pPr>
            <w:hyperlink r:id="rId5" w:history="1">
              <w:r w:rsidR="00473F0B" w:rsidRPr="000108BC">
                <w:rPr>
                  <w:rStyle w:val="Hipervnculo"/>
                  <w:rFonts w:eastAsia="Times New Roman" w:cs="Times New Roman"/>
                  <w:color w:val="auto"/>
                  <w:sz w:val="18"/>
                  <w:szCs w:val="18"/>
                  <w:lang w:eastAsia="es-MX"/>
                </w:rPr>
                <w:t>www.imss.gob.mx</w:t>
              </w:r>
            </w:hyperlink>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52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single" w:sz="4" w:space="0" w:color="auto"/>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XLIII </w:t>
            </w:r>
            <w:r w:rsidRPr="000108BC">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de lo establecido en los Lineamientos Técnicos Generales para la publicación, homologación y estandarización de la información</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531"/>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nil"/>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XLIV </w:t>
            </w:r>
            <w:r w:rsidRPr="000108BC">
              <w:rPr>
                <w:rFonts w:eastAsia="Times New Roman" w:cs="Times New Roman"/>
                <w:i/>
                <w:iCs/>
                <w:sz w:val="18"/>
                <w:szCs w:val="18"/>
                <w:lang w:eastAsia="es-MX"/>
              </w:rPr>
              <w:t>Donaciones hechas a terceros en dinero o en especie;</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Esta Secretaría del Trabajo no cuenta con esas atribuciones o facultades.</w:t>
            </w:r>
          </w:p>
        </w:tc>
        <w:tc>
          <w:tcPr>
            <w:tcW w:w="1534" w:type="dxa"/>
            <w:tcBorders>
              <w:top w:val="nil"/>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39 de la Ley Orgánica del Poder Ejecutivo del Estado de Oaxaca.</w:t>
            </w:r>
          </w:p>
        </w:tc>
        <w:tc>
          <w:tcPr>
            <w:tcW w:w="1467"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 aplicable en términos de lo establecido en los Lineamientos Técnicos Generales para la publicación, homologación y estandarización de la información, en relación con los artículos 2 fracción XX y 76 de la Ley Estatal de Presupuesto y Responsabilidad Hacendaria.</w:t>
            </w:r>
          </w:p>
        </w:tc>
        <w:tc>
          <w:tcPr>
            <w:tcW w:w="1294" w:type="dxa"/>
            <w:tcBorders>
              <w:top w:val="nil"/>
              <w:left w:val="single" w:sz="4" w:space="0" w:color="auto"/>
              <w:bottom w:val="single" w:sz="4" w:space="0" w:color="auto"/>
              <w:right w:val="single" w:sz="4" w:space="0" w:color="auto"/>
            </w:tcBorders>
            <w:shd w:val="clear" w:color="auto" w:fill="auto"/>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59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t>…</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XLV </w:t>
            </w:r>
            <w:r w:rsidRPr="000108BC">
              <w:rPr>
                <w:rFonts w:eastAsia="Times New Roman" w:cs="Times New Roman"/>
                <w:i/>
                <w:iCs/>
                <w:sz w:val="18"/>
                <w:szCs w:val="18"/>
                <w:lang w:eastAsia="es-MX"/>
              </w:rPr>
              <w:t>El catálogo de disposición y guía de archivo documental;</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Archivos del Estado de Oaxaca</w:t>
            </w:r>
          </w:p>
        </w:tc>
        <w:tc>
          <w:tcPr>
            <w:tcW w:w="1467"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Dirección Administrativa</w:t>
            </w:r>
          </w:p>
        </w:tc>
        <w:tc>
          <w:tcPr>
            <w:tcW w:w="1726"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124"/>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single" w:sz="4" w:space="0" w:color="auto"/>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XLVI </w:t>
            </w:r>
            <w:r w:rsidRPr="000108BC">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Oficina del Secretario y las Coordinaciones</w:t>
            </w:r>
          </w:p>
        </w:tc>
        <w:tc>
          <w:tcPr>
            <w:tcW w:w="1726"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65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single" w:sz="4" w:space="0" w:color="auto"/>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Arial"/>
                <w:b/>
                <w:bCs/>
                <w:i/>
                <w:iCs/>
                <w:sz w:val="18"/>
                <w:szCs w:val="18"/>
                <w:lang w:eastAsia="es-MX"/>
              </w:rPr>
              <w:t xml:space="preserve">Fracción XLVII </w:t>
            </w:r>
            <w:r w:rsidRPr="000108BC">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No 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Esta Secretaría del Trabajo no cuenta con esas atribuciones o facultades.</w:t>
            </w: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Artículo 39 de la Ley Orgánica del Poder Ejecutivo del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p>
        </w:tc>
        <w:tc>
          <w:tcPr>
            <w:tcW w:w="1294"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r w:rsidR="000108BC" w:rsidRPr="000108BC" w:rsidTr="000108BC">
        <w:trPr>
          <w:trHeight w:val="1529"/>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lastRenderedPageBreak/>
              <w:t>Artículo 70</w:t>
            </w:r>
            <w:r w:rsidRPr="000108BC">
              <w:rPr>
                <w:rFonts w:eastAsia="Times New Roman" w:cs="Times New Roman"/>
                <w:b/>
                <w:bCs/>
                <w:i/>
                <w:iCs/>
                <w:sz w:val="18"/>
                <w:szCs w:val="18"/>
                <w:lang w:eastAsia="es-MX"/>
              </w:rPr>
              <w:br/>
            </w:r>
            <w:r w:rsidRPr="000108BC">
              <w:rPr>
                <w:rFonts w:eastAsia="Times New Roman" w:cs="Times New Roman"/>
                <w:i/>
                <w:iCs/>
                <w:sz w:val="18"/>
                <w:szCs w:val="18"/>
                <w:lang w:eastAsia="es-MX"/>
              </w:rPr>
              <w:br/>
              <w:t>…</w:t>
            </w:r>
          </w:p>
        </w:tc>
        <w:tc>
          <w:tcPr>
            <w:tcW w:w="3286" w:type="dxa"/>
            <w:tcBorders>
              <w:top w:val="single" w:sz="4" w:space="0" w:color="auto"/>
              <w:left w:val="nil"/>
              <w:bottom w:val="single" w:sz="4" w:space="0" w:color="auto"/>
              <w:right w:val="single" w:sz="4" w:space="0" w:color="auto"/>
            </w:tcBorders>
            <w:shd w:val="clear" w:color="auto" w:fill="auto"/>
            <w:hideMark/>
          </w:tcPr>
          <w:p w:rsidR="00473F0B" w:rsidRPr="000108BC" w:rsidRDefault="00473F0B" w:rsidP="00E15C23">
            <w:pPr>
              <w:spacing w:after="0" w:line="240" w:lineRule="auto"/>
              <w:jc w:val="both"/>
              <w:rPr>
                <w:rFonts w:eastAsia="Times New Roman" w:cs="Times New Roman"/>
                <w:i/>
                <w:iCs/>
                <w:sz w:val="18"/>
                <w:szCs w:val="18"/>
                <w:lang w:eastAsia="es-MX"/>
              </w:rPr>
            </w:pPr>
            <w:r w:rsidRPr="000108BC">
              <w:rPr>
                <w:rFonts w:eastAsia="Times New Roman" w:cs="Times New Roman"/>
                <w:b/>
                <w:bCs/>
                <w:i/>
                <w:iCs/>
                <w:sz w:val="18"/>
                <w:szCs w:val="18"/>
                <w:lang w:eastAsia="es-MX"/>
              </w:rPr>
              <w:t xml:space="preserve">Fracción XLVIII </w:t>
            </w:r>
            <w:r w:rsidRPr="000108BC">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78"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Aplica</w:t>
            </w:r>
          </w:p>
        </w:tc>
        <w:tc>
          <w:tcPr>
            <w:tcW w:w="2445"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Lo relativo a las solicitudes de acceso a la información pública.</w:t>
            </w:r>
          </w:p>
        </w:tc>
        <w:tc>
          <w:tcPr>
            <w:tcW w:w="1534" w:type="dxa"/>
            <w:tcBorders>
              <w:top w:val="single" w:sz="4" w:space="0" w:color="auto"/>
              <w:left w:val="nil"/>
              <w:bottom w:val="single" w:sz="4" w:space="0" w:color="auto"/>
              <w:right w:val="single" w:sz="4" w:space="0" w:color="auto"/>
            </w:tcBorders>
            <w:shd w:val="clear" w:color="auto" w:fill="auto"/>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la Ley de Transparencia y Acceso a la Información Pública para el Estado de Oaxaca</w:t>
            </w:r>
          </w:p>
        </w:tc>
        <w:tc>
          <w:tcPr>
            <w:tcW w:w="1467" w:type="dxa"/>
            <w:tcBorders>
              <w:top w:val="single" w:sz="4" w:space="0" w:color="auto"/>
              <w:left w:val="nil"/>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Unidad Jurídica</w:t>
            </w:r>
          </w:p>
        </w:tc>
        <w:tc>
          <w:tcPr>
            <w:tcW w:w="1726"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E15C23">
            <w:pPr>
              <w:spacing w:after="0" w:line="240" w:lineRule="auto"/>
              <w:jc w:val="both"/>
              <w:rPr>
                <w:rFonts w:eastAsia="Times New Roman" w:cs="Times New Roman"/>
                <w:sz w:val="18"/>
                <w:szCs w:val="18"/>
                <w:lang w:eastAsia="es-MX"/>
              </w:rPr>
            </w:pPr>
            <w:r w:rsidRPr="000108BC">
              <w:rPr>
                <w:rFonts w:eastAsia="Times New Roman" w:cs="Times New Roman"/>
                <w:sz w:val="18"/>
                <w:szCs w:val="18"/>
                <w:lang w:eastAsia="es-MX"/>
              </w:rPr>
              <w:t>En proceso de actualización en la Ventanilla Única</w:t>
            </w:r>
          </w:p>
        </w:tc>
        <w:tc>
          <w:tcPr>
            <w:tcW w:w="1294" w:type="dxa"/>
            <w:tcBorders>
              <w:top w:val="single" w:sz="4" w:space="0" w:color="auto"/>
              <w:left w:val="single" w:sz="4" w:space="0" w:color="auto"/>
              <w:bottom w:val="single" w:sz="4" w:space="0" w:color="auto"/>
              <w:right w:val="single" w:sz="4" w:space="0" w:color="auto"/>
            </w:tcBorders>
            <w:vAlign w:val="center"/>
          </w:tcPr>
          <w:p w:rsidR="00473F0B" w:rsidRPr="000108BC" w:rsidRDefault="00473F0B" w:rsidP="000108BC">
            <w:pPr>
              <w:jc w:val="center"/>
            </w:pPr>
            <w:r w:rsidRPr="000108BC">
              <w:rPr>
                <w:rFonts w:eastAsia="Times New Roman" w:cs="Times New Roman"/>
                <w:sz w:val="18"/>
                <w:szCs w:val="18"/>
                <w:lang w:eastAsia="es-MX"/>
              </w:rPr>
              <w:t>VALIDADA</w:t>
            </w:r>
          </w:p>
        </w:tc>
      </w:tr>
    </w:tbl>
    <w:p w:rsidR="008F6A5F" w:rsidRPr="000108BC" w:rsidRDefault="008F6A5F" w:rsidP="00E15C23">
      <w:pPr>
        <w:jc w:val="both"/>
        <w:rPr>
          <w:b/>
          <w:sz w:val="18"/>
          <w:szCs w:val="18"/>
        </w:rPr>
      </w:pPr>
    </w:p>
    <w:p w:rsidR="000108BC" w:rsidRDefault="000108BC" w:rsidP="000108BC">
      <w:pPr>
        <w:pStyle w:val="CuerpoA"/>
        <w:tabs>
          <w:tab w:val="left" w:pos="216"/>
        </w:tabs>
        <w:spacing w:after="0" w:line="240" w:lineRule="auto"/>
        <w:ind w:firstLine="70"/>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0108BC" w:rsidRDefault="000108BC" w:rsidP="000108BC">
      <w:pPr>
        <w:jc w:val="right"/>
        <w:rPr>
          <w:b/>
          <w:i/>
          <w:sz w:val="18"/>
          <w:szCs w:val="18"/>
        </w:rPr>
      </w:pPr>
      <w:r>
        <w:t xml:space="preserve">Oaxaca de Juárez </w:t>
      </w:r>
      <w:proofErr w:type="spellStart"/>
      <w:r>
        <w:t>Oax</w:t>
      </w:r>
      <w:proofErr w:type="spellEnd"/>
      <w:r>
        <w:t>., dieciocho  de enero  de dos mil diecisiete.</w:t>
      </w:r>
    </w:p>
    <w:p w:rsidR="000108BC" w:rsidRDefault="000108BC" w:rsidP="000108BC">
      <w:pPr>
        <w:jc w:val="center"/>
        <w:rPr>
          <w:sz w:val="24"/>
          <w:szCs w:val="24"/>
        </w:rPr>
      </w:pPr>
      <w:r>
        <w:t xml:space="preserve">ELABORÓ                                                                                                                                               </w:t>
      </w:r>
      <w:proofErr w:type="spellStart"/>
      <w:r>
        <w:t>Vo</w:t>
      </w:r>
      <w:proofErr w:type="spellEnd"/>
      <w:r>
        <w:t>. Bo.</w:t>
      </w:r>
    </w:p>
    <w:p w:rsidR="000108BC" w:rsidRDefault="000108BC" w:rsidP="000108BC">
      <w:pPr>
        <w:jc w:val="center"/>
      </w:pPr>
    </w:p>
    <w:p w:rsidR="000108BC" w:rsidRDefault="000108BC" w:rsidP="000108BC">
      <w:pPr>
        <w:jc w:val="center"/>
        <w:rPr>
          <w:b/>
          <w:sz w:val="18"/>
          <w:szCs w:val="18"/>
        </w:rPr>
      </w:pPr>
      <w:r>
        <w:t>LIC. THOMAS AGUILAR MENDOZA</w:t>
      </w:r>
      <w:r>
        <w:tab/>
      </w:r>
      <w:r>
        <w:tab/>
      </w:r>
      <w:r>
        <w:tab/>
        <w:t xml:space="preserve">                                                     LIC.  RICARDO DORANTES JIMENEZ</w:t>
      </w:r>
    </w:p>
    <w:p w:rsidR="00BC0819" w:rsidRPr="000108BC" w:rsidRDefault="00BC0819" w:rsidP="000108BC">
      <w:pPr>
        <w:jc w:val="both"/>
        <w:rPr>
          <w:b/>
          <w:sz w:val="18"/>
          <w:szCs w:val="18"/>
        </w:rPr>
      </w:pPr>
    </w:p>
    <w:sectPr w:rsidR="00BC0819" w:rsidRPr="000108BC" w:rsidSect="00F44F9E">
      <w:pgSz w:w="15840" w:h="12240" w:orient="landscape"/>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8F6A5F"/>
    <w:rsid w:val="00004F55"/>
    <w:rsid w:val="000108BC"/>
    <w:rsid w:val="00063E3F"/>
    <w:rsid w:val="00115F9C"/>
    <w:rsid w:val="00130E74"/>
    <w:rsid w:val="00174378"/>
    <w:rsid w:val="0018252A"/>
    <w:rsid w:val="00184F54"/>
    <w:rsid w:val="001F4B6F"/>
    <w:rsid w:val="001F57F0"/>
    <w:rsid w:val="00213309"/>
    <w:rsid w:val="002A7C4D"/>
    <w:rsid w:val="00356BAA"/>
    <w:rsid w:val="003D73CA"/>
    <w:rsid w:val="0040300F"/>
    <w:rsid w:val="00452D85"/>
    <w:rsid w:val="00473F0B"/>
    <w:rsid w:val="00484EE9"/>
    <w:rsid w:val="0053024C"/>
    <w:rsid w:val="00605AA5"/>
    <w:rsid w:val="00644CA4"/>
    <w:rsid w:val="00664409"/>
    <w:rsid w:val="00682EEF"/>
    <w:rsid w:val="006956F5"/>
    <w:rsid w:val="00717C7B"/>
    <w:rsid w:val="00725B3E"/>
    <w:rsid w:val="0078688C"/>
    <w:rsid w:val="00886B00"/>
    <w:rsid w:val="008A589A"/>
    <w:rsid w:val="008F6A5F"/>
    <w:rsid w:val="00906978"/>
    <w:rsid w:val="00912BA2"/>
    <w:rsid w:val="009D6C93"/>
    <w:rsid w:val="00A372F6"/>
    <w:rsid w:val="00A803C7"/>
    <w:rsid w:val="00B43427"/>
    <w:rsid w:val="00BA5F35"/>
    <w:rsid w:val="00BC0819"/>
    <w:rsid w:val="00C35F74"/>
    <w:rsid w:val="00C66CB3"/>
    <w:rsid w:val="00C87892"/>
    <w:rsid w:val="00CD265E"/>
    <w:rsid w:val="00CD602F"/>
    <w:rsid w:val="00D10DB6"/>
    <w:rsid w:val="00D25DF1"/>
    <w:rsid w:val="00DE10EA"/>
    <w:rsid w:val="00E15C23"/>
    <w:rsid w:val="00E810A5"/>
    <w:rsid w:val="00F44004"/>
    <w:rsid w:val="00F44F9E"/>
    <w:rsid w:val="00F723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5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40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004"/>
    <w:rPr>
      <w:rFonts w:ascii="Segoe UI" w:hAnsi="Segoe UI" w:cs="Segoe UI"/>
      <w:sz w:val="18"/>
      <w:szCs w:val="18"/>
    </w:rPr>
  </w:style>
  <w:style w:type="character" w:styleId="Refdecomentario">
    <w:name w:val="annotation reference"/>
    <w:basedOn w:val="Fuentedeprrafopredeter"/>
    <w:uiPriority w:val="99"/>
    <w:semiHidden/>
    <w:unhideWhenUsed/>
    <w:rsid w:val="0053024C"/>
    <w:rPr>
      <w:sz w:val="16"/>
      <w:szCs w:val="16"/>
    </w:rPr>
  </w:style>
  <w:style w:type="paragraph" w:styleId="Textocomentario">
    <w:name w:val="annotation text"/>
    <w:basedOn w:val="Normal"/>
    <w:link w:val="TextocomentarioCar"/>
    <w:uiPriority w:val="99"/>
    <w:semiHidden/>
    <w:unhideWhenUsed/>
    <w:rsid w:val="00530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024C"/>
    <w:rPr>
      <w:sz w:val="20"/>
      <w:szCs w:val="20"/>
    </w:rPr>
  </w:style>
  <w:style w:type="paragraph" w:styleId="Asuntodelcomentario">
    <w:name w:val="annotation subject"/>
    <w:basedOn w:val="Textocomentario"/>
    <w:next w:val="Textocomentario"/>
    <w:link w:val="AsuntodelcomentarioCar"/>
    <w:uiPriority w:val="99"/>
    <w:semiHidden/>
    <w:unhideWhenUsed/>
    <w:rsid w:val="0053024C"/>
    <w:rPr>
      <w:b/>
      <w:bCs/>
    </w:rPr>
  </w:style>
  <w:style w:type="character" w:customStyle="1" w:styleId="AsuntodelcomentarioCar">
    <w:name w:val="Asunto del comentario Car"/>
    <w:basedOn w:val="TextocomentarioCar"/>
    <w:link w:val="Asuntodelcomentario"/>
    <w:uiPriority w:val="99"/>
    <w:semiHidden/>
    <w:rsid w:val="0053024C"/>
    <w:rPr>
      <w:b/>
      <w:bCs/>
      <w:sz w:val="20"/>
      <w:szCs w:val="20"/>
    </w:rPr>
  </w:style>
  <w:style w:type="character" w:styleId="Hipervnculo">
    <w:name w:val="Hyperlink"/>
    <w:basedOn w:val="Fuentedeprrafopredeter"/>
    <w:uiPriority w:val="99"/>
    <w:unhideWhenUsed/>
    <w:rsid w:val="00664409"/>
    <w:rPr>
      <w:color w:val="0563C1" w:themeColor="hyperlink"/>
      <w:u w:val="single"/>
    </w:rPr>
  </w:style>
  <w:style w:type="paragraph" w:customStyle="1" w:styleId="CuerpoA">
    <w:name w:val="Cuerpo A"/>
    <w:rsid w:val="000108BC"/>
    <w:pPr>
      <w:spacing w:after="200" w:line="276" w:lineRule="auto"/>
    </w:pPr>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5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40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004"/>
    <w:rPr>
      <w:rFonts w:ascii="Segoe UI" w:hAnsi="Segoe UI" w:cs="Segoe UI"/>
      <w:sz w:val="18"/>
      <w:szCs w:val="18"/>
    </w:rPr>
  </w:style>
  <w:style w:type="character" w:styleId="Refdecomentario">
    <w:name w:val="annotation reference"/>
    <w:basedOn w:val="Fuentedeprrafopredeter"/>
    <w:uiPriority w:val="99"/>
    <w:semiHidden/>
    <w:unhideWhenUsed/>
    <w:rsid w:val="0053024C"/>
    <w:rPr>
      <w:sz w:val="16"/>
      <w:szCs w:val="16"/>
    </w:rPr>
  </w:style>
  <w:style w:type="paragraph" w:styleId="Textocomentario">
    <w:name w:val="annotation text"/>
    <w:basedOn w:val="Normal"/>
    <w:link w:val="TextocomentarioCar"/>
    <w:uiPriority w:val="99"/>
    <w:semiHidden/>
    <w:unhideWhenUsed/>
    <w:rsid w:val="00530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024C"/>
    <w:rPr>
      <w:sz w:val="20"/>
      <w:szCs w:val="20"/>
    </w:rPr>
  </w:style>
  <w:style w:type="paragraph" w:styleId="Asuntodelcomentario">
    <w:name w:val="annotation subject"/>
    <w:basedOn w:val="Textocomentario"/>
    <w:next w:val="Textocomentario"/>
    <w:link w:val="AsuntodelcomentarioCar"/>
    <w:uiPriority w:val="99"/>
    <w:semiHidden/>
    <w:unhideWhenUsed/>
    <w:rsid w:val="0053024C"/>
    <w:rPr>
      <w:b/>
      <w:bCs/>
    </w:rPr>
  </w:style>
  <w:style w:type="character" w:customStyle="1" w:styleId="AsuntodelcomentarioCar">
    <w:name w:val="Asunto del comentario Car"/>
    <w:basedOn w:val="TextocomentarioCar"/>
    <w:link w:val="Asuntodelcomentario"/>
    <w:uiPriority w:val="99"/>
    <w:semiHidden/>
    <w:rsid w:val="0053024C"/>
    <w:rPr>
      <w:b/>
      <w:bCs/>
      <w:sz w:val="20"/>
      <w:szCs w:val="20"/>
    </w:rPr>
  </w:style>
  <w:style w:type="character" w:styleId="Hipervnculo">
    <w:name w:val="Hyperlink"/>
    <w:basedOn w:val="Fuentedeprrafopredeter"/>
    <w:uiPriority w:val="99"/>
    <w:unhideWhenUsed/>
    <w:rsid w:val="00664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53578">
      <w:bodyDiv w:val="1"/>
      <w:marLeft w:val="0"/>
      <w:marRight w:val="0"/>
      <w:marTop w:val="0"/>
      <w:marBottom w:val="0"/>
      <w:divBdr>
        <w:top w:val="none" w:sz="0" w:space="0" w:color="auto"/>
        <w:left w:val="none" w:sz="0" w:space="0" w:color="auto"/>
        <w:bottom w:val="none" w:sz="0" w:space="0" w:color="auto"/>
        <w:right w:val="none" w:sz="0" w:space="0" w:color="auto"/>
      </w:divBdr>
    </w:div>
    <w:div w:id="1742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3086</Words>
  <Characters>16976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pallares</dc:creator>
  <cp:lastModifiedBy>Cotaipo</cp:lastModifiedBy>
  <cp:revision>16</cp:revision>
  <cp:lastPrinted>2017-01-18T00:08:00Z</cp:lastPrinted>
  <dcterms:created xsi:type="dcterms:W3CDTF">2016-08-12T19:09:00Z</dcterms:created>
  <dcterms:modified xsi:type="dcterms:W3CDTF">2017-01-18T00:08:00Z</dcterms:modified>
</cp:coreProperties>
</file>